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A54C" w14:textId="7D0875F9" w:rsidR="00010260" w:rsidRPr="00474337" w:rsidRDefault="000F62E3" w:rsidP="00010260">
      <w:pPr>
        <w:autoSpaceDE w:val="0"/>
        <w:autoSpaceDN w:val="0"/>
        <w:adjustRightInd w:val="0"/>
        <w:spacing w:after="0" w:line="240" w:lineRule="auto"/>
        <w:jc w:val="center"/>
        <w:rPr>
          <w:rFonts w:ascii="Twinkl" w:hAnsi="Twinkl" w:cs="ComicSansMS-Bold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7B63CD" wp14:editId="2AB1B32E">
            <wp:simplePos x="0" y="0"/>
            <wp:positionH relativeFrom="margin">
              <wp:posOffset>1583</wp:posOffset>
            </wp:positionH>
            <wp:positionV relativeFrom="paragraph">
              <wp:posOffset>-506974</wp:posOffset>
            </wp:positionV>
            <wp:extent cx="997906" cy="997906"/>
            <wp:effectExtent l="0" t="0" r="0" b="0"/>
            <wp:wrapNone/>
            <wp:docPr id="1355346303" name="Picture 1" descr="A logo with flowers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346303" name="Picture 1" descr="A logo with flowers and le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06" cy="99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E96">
        <w:rPr>
          <w:rFonts w:ascii="Comic Sans MS" w:hAnsi="Comic Sans MS" w:cs="ComicSansMS-Bold"/>
          <w:b/>
          <w:bCs/>
          <w:sz w:val="28"/>
          <w:szCs w:val="28"/>
        </w:rPr>
        <w:t xml:space="preserve">     </w:t>
      </w:r>
      <w:r w:rsidR="0050330E" w:rsidRPr="00474337">
        <w:rPr>
          <w:rFonts w:ascii="Twinkl" w:hAnsi="Twinkl" w:cs="ComicSansMS-Bold"/>
          <w:b/>
          <w:bCs/>
          <w:sz w:val="28"/>
          <w:szCs w:val="28"/>
          <w:u w:val="single"/>
        </w:rPr>
        <w:t>Administration of Medication</w:t>
      </w:r>
    </w:p>
    <w:p w14:paraId="4E4524DB" w14:textId="24488BE3" w:rsidR="00221129" w:rsidRPr="00474337" w:rsidRDefault="00221129" w:rsidP="00010260">
      <w:pPr>
        <w:autoSpaceDE w:val="0"/>
        <w:autoSpaceDN w:val="0"/>
        <w:adjustRightInd w:val="0"/>
        <w:spacing w:after="0" w:line="240" w:lineRule="auto"/>
        <w:jc w:val="center"/>
        <w:rPr>
          <w:rFonts w:ascii="Twinkl" w:hAnsi="Twinkl" w:cs="ComicSansMS-Bold"/>
          <w:b/>
          <w:bCs/>
          <w:sz w:val="28"/>
          <w:szCs w:val="28"/>
          <w:u w:val="single"/>
        </w:rPr>
      </w:pPr>
    </w:p>
    <w:p w14:paraId="338CF585" w14:textId="73BBDABA" w:rsidR="00010260" w:rsidRPr="00474337" w:rsidRDefault="00010260" w:rsidP="00010260">
      <w:pPr>
        <w:autoSpaceDE w:val="0"/>
        <w:autoSpaceDN w:val="0"/>
        <w:adjustRightInd w:val="0"/>
        <w:spacing w:after="0" w:line="240" w:lineRule="auto"/>
        <w:rPr>
          <w:rFonts w:ascii="Twinkl" w:hAnsi="Twinkl" w:cs="ComicSansMS-Bold"/>
          <w:b/>
          <w:bCs/>
          <w:sz w:val="24"/>
          <w:szCs w:val="20"/>
        </w:rPr>
      </w:pPr>
      <w:r w:rsidRPr="00474337">
        <w:rPr>
          <w:rFonts w:ascii="Twinkl" w:hAnsi="Twinkl" w:cs="ComicSansMS-Bold"/>
          <w:b/>
          <w:bCs/>
          <w:sz w:val="24"/>
          <w:szCs w:val="20"/>
        </w:rPr>
        <w:t>Purpose of Policy</w:t>
      </w:r>
    </w:p>
    <w:p w14:paraId="41B3CD94" w14:textId="1C9A230C" w:rsidR="00F71217" w:rsidRPr="00474337" w:rsidRDefault="00010260" w:rsidP="00F71217">
      <w:pPr>
        <w:pStyle w:val="Heading1"/>
        <w:spacing w:before="0" w:after="161"/>
        <w:rPr>
          <w:rFonts w:ascii="Twinkl" w:eastAsia="Times New Roman" w:hAnsi="Twinkl" w:cs="Times New Roman"/>
          <w:b w:val="0"/>
          <w:color w:val="000000" w:themeColor="text1"/>
          <w:kern w:val="36"/>
          <w:sz w:val="48"/>
          <w:szCs w:val="48"/>
          <w:lang w:eastAsia="en-GB"/>
        </w:rPr>
      </w:pPr>
      <w:r w:rsidRPr="00474337">
        <w:rPr>
          <w:rFonts w:ascii="Twinkl" w:hAnsi="Twinkl" w:cs="ComicSansMS"/>
          <w:b w:val="0"/>
          <w:color w:val="000000" w:themeColor="text1"/>
          <w:sz w:val="20"/>
          <w:szCs w:val="20"/>
        </w:rPr>
        <w:t>The purpose of this policy is to ensure that any and all medication administered to children has been authorised by the child's parent/carer</w:t>
      </w:r>
      <w:r w:rsidR="00791B1F" w:rsidRPr="00474337">
        <w:rPr>
          <w:rFonts w:ascii="Twinkl" w:hAnsi="Twinkl" w:cs="ComicSansMS"/>
          <w:b w:val="0"/>
          <w:color w:val="000000" w:themeColor="text1"/>
          <w:sz w:val="20"/>
          <w:szCs w:val="20"/>
        </w:rPr>
        <w:t xml:space="preserve"> and prescribed by the child’s doctor</w:t>
      </w:r>
      <w:r w:rsidRPr="00474337">
        <w:rPr>
          <w:rFonts w:ascii="Twinkl" w:hAnsi="Twinkl" w:cs="ComicSansMS"/>
          <w:b w:val="0"/>
          <w:color w:val="000000" w:themeColor="text1"/>
          <w:sz w:val="20"/>
          <w:szCs w:val="20"/>
        </w:rPr>
        <w:t>. Only authorised members of staff will be allowed to administer medication and accurate records of any medicine administered must be kept.</w:t>
      </w:r>
      <w:r w:rsidR="00F71217" w:rsidRPr="00474337">
        <w:rPr>
          <w:rFonts w:ascii="Twinkl" w:hAnsi="Twinkl" w:cs="ComicSansMS"/>
          <w:b w:val="0"/>
          <w:color w:val="000000" w:themeColor="text1"/>
          <w:sz w:val="20"/>
          <w:szCs w:val="20"/>
        </w:rPr>
        <w:t xml:space="preserve"> This policy has been developed alongside the </w:t>
      </w:r>
      <w:r w:rsidR="00A1719D">
        <w:rPr>
          <w:rFonts w:ascii="Twinkl" w:hAnsi="Twinkl" w:cs="ComicSansMS"/>
          <w:b w:val="0"/>
          <w:color w:val="000000" w:themeColor="text1"/>
          <w:sz w:val="20"/>
          <w:szCs w:val="20"/>
        </w:rPr>
        <w:t xml:space="preserve">Care Inspectorates </w:t>
      </w:r>
      <w:r w:rsidR="00F71217" w:rsidRPr="00474337">
        <w:rPr>
          <w:rFonts w:ascii="Twinkl" w:hAnsi="Twinkl" w:cs="ComicSansMS"/>
          <w:b w:val="0"/>
          <w:color w:val="000000" w:themeColor="text1"/>
          <w:sz w:val="20"/>
          <w:szCs w:val="20"/>
        </w:rPr>
        <w:t>‘</w:t>
      </w:r>
      <w:r w:rsidR="00F71217" w:rsidRPr="00474337">
        <w:rPr>
          <w:rFonts w:ascii="Twinkl" w:eastAsia="Times New Roman" w:hAnsi="Twinkl" w:cs="Times New Roman"/>
          <w:b w:val="0"/>
          <w:color w:val="000000" w:themeColor="text1"/>
          <w:kern w:val="36"/>
          <w:sz w:val="20"/>
          <w:szCs w:val="20"/>
          <w:lang w:eastAsia="en-GB"/>
        </w:rPr>
        <w:t xml:space="preserve">Management of medication in day care of children and childminding services’ document and the ‘Health Care in Schools and Nurseries 3-18’ document. </w:t>
      </w:r>
    </w:p>
    <w:p w14:paraId="0265E559" w14:textId="1E88B159" w:rsidR="00010260" w:rsidRPr="00474337" w:rsidRDefault="00010260" w:rsidP="00010260">
      <w:pPr>
        <w:autoSpaceDE w:val="0"/>
        <w:autoSpaceDN w:val="0"/>
        <w:adjustRightInd w:val="0"/>
        <w:spacing w:after="0" w:line="240" w:lineRule="auto"/>
        <w:rPr>
          <w:rFonts w:ascii="Twinkl" w:hAnsi="Twinkl" w:cs="ComicSansMS-Bold"/>
          <w:b/>
          <w:bCs/>
          <w:sz w:val="24"/>
          <w:szCs w:val="20"/>
        </w:rPr>
      </w:pPr>
      <w:r w:rsidRPr="00474337">
        <w:rPr>
          <w:rFonts w:ascii="Twinkl" w:hAnsi="Twinkl" w:cs="ComicSansMS-Bold"/>
          <w:b/>
          <w:bCs/>
          <w:sz w:val="24"/>
          <w:szCs w:val="20"/>
        </w:rPr>
        <w:t>Who is Responsible?</w:t>
      </w:r>
    </w:p>
    <w:p w14:paraId="1A1C4334" w14:textId="77777777" w:rsidR="00010260" w:rsidRPr="00474337" w:rsidRDefault="00010260" w:rsidP="00010260">
      <w:p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 xml:space="preserve">It is the overall responsibility of the manager to ensure that there is written parental/guardian permission to administer medication to children during the session. It is the responsibility of the staff to ensure that parent/carers complete a medication form prior to any medication being administered and a signature is obtained giving authorisation. </w:t>
      </w:r>
    </w:p>
    <w:p w14:paraId="57A8F728" w14:textId="77777777" w:rsidR="00010260" w:rsidRPr="00474337" w:rsidRDefault="00010260" w:rsidP="00010260">
      <w:p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</w:p>
    <w:p w14:paraId="081EA8A7" w14:textId="77777777" w:rsidR="00010260" w:rsidRPr="00474337" w:rsidRDefault="00010260" w:rsidP="00010260">
      <w:pPr>
        <w:autoSpaceDE w:val="0"/>
        <w:autoSpaceDN w:val="0"/>
        <w:adjustRightInd w:val="0"/>
        <w:spacing w:after="0" w:line="240" w:lineRule="auto"/>
        <w:rPr>
          <w:rFonts w:ascii="Twinkl" w:hAnsi="Twinkl" w:cs="ComicSansMS-Bold"/>
          <w:b/>
          <w:bCs/>
          <w:sz w:val="24"/>
          <w:szCs w:val="20"/>
        </w:rPr>
      </w:pPr>
      <w:r w:rsidRPr="00474337">
        <w:rPr>
          <w:rFonts w:ascii="Twinkl" w:hAnsi="Twinkl" w:cs="ComicSansMS-Bold"/>
          <w:b/>
          <w:bCs/>
          <w:sz w:val="24"/>
          <w:szCs w:val="20"/>
        </w:rPr>
        <w:t>Administering Medication</w:t>
      </w:r>
    </w:p>
    <w:p w14:paraId="1B38D075" w14:textId="77777777" w:rsidR="00010260" w:rsidRPr="00474337" w:rsidRDefault="00010260" w:rsidP="000102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 xml:space="preserve">If any controlled drugs, such as morphine, are brought into the nursery to be administered to the child, staff </w:t>
      </w:r>
      <w:r w:rsidRPr="00474337">
        <w:rPr>
          <w:rFonts w:ascii="Twinkl" w:hAnsi="Twinkl" w:cs="ComicSansMS-Bold"/>
          <w:b/>
          <w:bCs/>
          <w:sz w:val="20"/>
          <w:szCs w:val="20"/>
        </w:rPr>
        <w:t xml:space="preserve">must </w:t>
      </w:r>
      <w:r w:rsidRPr="00474337">
        <w:rPr>
          <w:rFonts w:ascii="Twinkl" w:hAnsi="Twinkl" w:cs="ComicSansMS"/>
          <w:sz w:val="20"/>
          <w:szCs w:val="20"/>
        </w:rPr>
        <w:t xml:space="preserve">advise parent to see the management team who will inform parents that they must return to nursery to administer. </w:t>
      </w:r>
      <w:r w:rsidRPr="00474337">
        <w:rPr>
          <w:rFonts w:ascii="Twinkl" w:hAnsi="Twinkl" w:cs="ComicSansMS-Bold"/>
          <w:b/>
          <w:bCs/>
          <w:sz w:val="20"/>
          <w:szCs w:val="20"/>
        </w:rPr>
        <w:t xml:space="preserve">Under no circumstances </w:t>
      </w:r>
      <w:r w:rsidRPr="00474337">
        <w:rPr>
          <w:rFonts w:ascii="Twinkl" w:hAnsi="Twinkl" w:cs="ComicSansMS"/>
          <w:sz w:val="20"/>
          <w:szCs w:val="20"/>
        </w:rPr>
        <w:t>is the medication stored in the nursery or administered by staff.</w:t>
      </w:r>
    </w:p>
    <w:p w14:paraId="6DA1DE69" w14:textId="77777777" w:rsidR="00010260" w:rsidRDefault="0050330E" w:rsidP="000102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 xml:space="preserve">Medication forms MUST be completed in PEN. </w:t>
      </w:r>
    </w:p>
    <w:p w14:paraId="77663C09" w14:textId="283D6BC0" w:rsidR="00A1719D" w:rsidRPr="00474337" w:rsidRDefault="00A1719D" w:rsidP="000102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>
        <w:rPr>
          <w:rFonts w:ascii="Twinkl" w:hAnsi="Twinkl" w:cs="ComicSansMS"/>
          <w:sz w:val="20"/>
          <w:szCs w:val="20"/>
        </w:rPr>
        <w:t xml:space="preserve">Parents with Parental rights and responsibilities </w:t>
      </w:r>
    </w:p>
    <w:p w14:paraId="75DE4E0A" w14:textId="77777777" w:rsidR="00010260" w:rsidRPr="00474337" w:rsidRDefault="00010260" w:rsidP="000102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>Parents should be signing their names and not printing.</w:t>
      </w:r>
    </w:p>
    <w:p w14:paraId="6C64C50C" w14:textId="77777777" w:rsidR="00010260" w:rsidRPr="00474337" w:rsidRDefault="00010260" w:rsidP="000102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>Parent’s signature must be clearly seen at the bottom of the medication form.</w:t>
      </w:r>
    </w:p>
    <w:p w14:paraId="70E86175" w14:textId="77777777" w:rsidR="00010260" w:rsidRPr="00474337" w:rsidRDefault="00010260" w:rsidP="000102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 xml:space="preserve">It must be clearly stated </w:t>
      </w:r>
      <w:r w:rsidRPr="00474337">
        <w:rPr>
          <w:rFonts w:ascii="Twinkl" w:hAnsi="Twinkl" w:cs="ComicSansMS-Bold"/>
          <w:b/>
          <w:bCs/>
          <w:sz w:val="20"/>
          <w:szCs w:val="20"/>
        </w:rPr>
        <w:t xml:space="preserve">why </w:t>
      </w:r>
      <w:r w:rsidR="0050330E" w:rsidRPr="00474337">
        <w:rPr>
          <w:rFonts w:ascii="Twinkl" w:hAnsi="Twinkl" w:cs="ComicSansMS"/>
          <w:sz w:val="20"/>
          <w:szCs w:val="20"/>
        </w:rPr>
        <w:t>the child is required to take</w:t>
      </w:r>
      <w:r w:rsidRPr="00474337">
        <w:rPr>
          <w:rFonts w:ascii="Twinkl" w:hAnsi="Twinkl" w:cs="ComicSansMS"/>
          <w:sz w:val="20"/>
          <w:szCs w:val="20"/>
        </w:rPr>
        <w:t xml:space="preserve"> medication.</w:t>
      </w:r>
    </w:p>
    <w:p w14:paraId="1DEFA856" w14:textId="77777777" w:rsidR="00010260" w:rsidRPr="00474337" w:rsidRDefault="00010260" w:rsidP="000102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>Medication must be stored accordingly in sealed containers in</w:t>
      </w:r>
      <w:r w:rsidR="0050330E" w:rsidRPr="00474337">
        <w:rPr>
          <w:rFonts w:ascii="Twinkl" w:hAnsi="Twinkl" w:cs="ComicSansMS"/>
          <w:sz w:val="20"/>
          <w:szCs w:val="20"/>
        </w:rPr>
        <w:t xml:space="preserve"> the medication cupboard or top shelf of the fridge. </w:t>
      </w:r>
      <w:r w:rsidRPr="00474337">
        <w:rPr>
          <w:rFonts w:ascii="Twinkl" w:hAnsi="Twinkl" w:cs="ComicSansMS"/>
          <w:sz w:val="20"/>
          <w:szCs w:val="20"/>
        </w:rPr>
        <w:t xml:space="preserve"> </w:t>
      </w:r>
    </w:p>
    <w:p w14:paraId="0E19B533" w14:textId="77777777" w:rsidR="00010260" w:rsidRPr="00474337" w:rsidRDefault="00010260" w:rsidP="000102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>No medication should be left in children's bags.</w:t>
      </w:r>
    </w:p>
    <w:p w14:paraId="0ABE16B1" w14:textId="64A95907" w:rsidR="0065300C" w:rsidRPr="00474337" w:rsidRDefault="0065300C" w:rsidP="000102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 xml:space="preserve">Nursery staff will never administer the first dosage of any medication, unless this is an adrenaline injector eg epipen and is needed in an emergency situation. </w:t>
      </w:r>
    </w:p>
    <w:p w14:paraId="2CA904CF" w14:textId="7CB0830C" w:rsidR="0065300C" w:rsidRDefault="0065300C" w:rsidP="000102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>Nursery staff will not re-administer any medication that a child refuses to take or spits out. Families will be contacted immediately in this case</w:t>
      </w:r>
      <w:r w:rsidR="001A53FC">
        <w:rPr>
          <w:rFonts w:ascii="Twinkl" w:hAnsi="Twinkl" w:cs="ComicSansMS"/>
          <w:sz w:val="20"/>
          <w:szCs w:val="20"/>
        </w:rPr>
        <w:t xml:space="preserve"> and refusal</w:t>
      </w:r>
      <w:r w:rsidR="006607D3">
        <w:rPr>
          <w:rFonts w:ascii="Twinkl" w:hAnsi="Twinkl" w:cs="ComicSansMS"/>
          <w:sz w:val="20"/>
          <w:szCs w:val="20"/>
        </w:rPr>
        <w:t xml:space="preserve"> recorded on the administration of medication form (on Eylog app). </w:t>
      </w:r>
    </w:p>
    <w:p w14:paraId="133B5DF7" w14:textId="3A09F020" w:rsidR="006607D3" w:rsidRPr="00474337" w:rsidRDefault="006607D3" w:rsidP="000102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>
        <w:rPr>
          <w:rFonts w:ascii="Twinkl" w:hAnsi="Twinkl" w:cs="ComicSansMS"/>
          <w:sz w:val="20"/>
          <w:szCs w:val="20"/>
        </w:rPr>
        <w:t>When Medication is administered, the record of administered medication will be sent to the parents</w:t>
      </w:r>
      <w:r w:rsidR="001557BA">
        <w:rPr>
          <w:rFonts w:ascii="Twinkl" w:hAnsi="Twinkl" w:cs="ComicSansMS"/>
          <w:sz w:val="20"/>
          <w:szCs w:val="20"/>
        </w:rPr>
        <w:t xml:space="preserve"> using the Eylog app, which will allow parents to sign to confirm they are aware of this. </w:t>
      </w:r>
    </w:p>
    <w:p w14:paraId="0B4923B9" w14:textId="77777777" w:rsidR="00010260" w:rsidRPr="00474337" w:rsidRDefault="00010260" w:rsidP="00010260">
      <w:p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</w:p>
    <w:p w14:paraId="0FEC1A8B" w14:textId="77777777" w:rsidR="00010260" w:rsidRPr="00474337" w:rsidRDefault="00010260" w:rsidP="00010260">
      <w:pPr>
        <w:autoSpaceDE w:val="0"/>
        <w:autoSpaceDN w:val="0"/>
        <w:adjustRightInd w:val="0"/>
        <w:spacing w:after="0" w:line="240" w:lineRule="auto"/>
        <w:rPr>
          <w:rFonts w:ascii="Twinkl" w:hAnsi="Twinkl" w:cs="ComicSansMS-Bold"/>
          <w:b/>
          <w:bCs/>
          <w:sz w:val="24"/>
          <w:szCs w:val="20"/>
        </w:rPr>
      </w:pPr>
      <w:r w:rsidRPr="00474337">
        <w:rPr>
          <w:rFonts w:ascii="Twinkl" w:hAnsi="Twinkl" w:cs="ComicSansMS-Bold"/>
          <w:b/>
          <w:bCs/>
          <w:sz w:val="24"/>
          <w:szCs w:val="20"/>
        </w:rPr>
        <w:t>Auditing Medication</w:t>
      </w:r>
    </w:p>
    <w:p w14:paraId="6FC31205" w14:textId="77777777" w:rsidR="00010260" w:rsidRPr="00474337" w:rsidRDefault="00010260" w:rsidP="000102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>Medication forms will be checked regularly by the manager to ensure forms are being completed correctly</w:t>
      </w:r>
    </w:p>
    <w:p w14:paraId="29974D9E" w14:textId="77777777" w:rsidR="00010260" w:rsidRPr="00474337" w:rsidRDefault="00010260" w:rsidP="000102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 xml:space="preserve">All medication </w:t>
      </w:r>
      <w:r w:rsidR="0050330E" w:rsidRPr="00474337">
        <w:rPr>
          <w:rFonts w:ascii="Twinkl" w:hAnsi="Twinkl" w:cs="ComicSansMS"/>
          <w:sz w:val="20"/>
          <w:szCs w:val="20"/>
        </w:rPr>
        <w:t xml:space="preserve">forms should be easily accessible and kept in the child’s individual medication box. </w:t>
      </w:r>
    </w:p>
    <w:p w14:paraId="2C896D5B" w14:textId="77777777" w:rsidR="0050330E" w:rsidRPr="00474337" w:rsidRDefault="00010260" w:rsidP="002C05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>Management will audit all medications brought in and out of the nursery</w:t>
      </w:r>
      <w:r w:rsidR="00523E96" w:rsidRPr="00474337">
        <w:rPr>
          <w:rFonts w:ascii="Twinkl" w:hAnsi="Twinkl" w:cs="ComicSansMS"/>
          <w:sz w:val="20"/>
          <w:szCs w:val="20"/>
        </w:rPr>
        <w:t xml:space="preserve"> (both short and long term)</w:t>
      </w:r>
      <w:r w:rsidR="0050330E" w:rsidRPr="00474337">
        <w:rPr>
          <w:rFonts w:ascii="Twinkl" w:hAnsi="Twinkl" w:cs="ComicSansMS"/>
          <w:sz w:val="20"/>
          <w:szCs w:val="20"/>
        </w:rPr>
        <w:t>.</w:t>
      </w:r>
    </w:p>
    <w:p w14:paraId="2F35166C" w14:textId="684D5AB6" w:rsidR="00523E96" w:rsidRDefault="0050330E" w:rsidP="002C05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 xml:space="preserve">Medication will be reviewed at least </w:t>
      </w:r>
      <w:r w:rsidR="001E5BE2">
        <w:rPr>
          <w:rFonts w:ascii="Twinkl" w:hAnsi="Twinkl" w:cs="ComicSansMS"/>
          <w:sz w:val="20"/>
          <w:szCs w:val="20"/>
        </w:rPr>
        <w:t>every term</w:t>
      </w:r>
      <w:r w:rsidR="00523E96" w:rsidRPr="00474337">
        <w:rPr>
          <w:rFonts w:ascii="Twinkl" w:hAnsi="Twinkl" w:cs="ComicSansMS"/>
          <w:sz w:val="20"/>
          <w:szCs w:val="20"/>
        </w:rPr>
        <w:t xml:space="preserve">. Staff and parents should both sign the monthly review. If medication is no longer in date Parent’s should take the medication home immediately and replace it. </w:t>
      </w:r>
    </w:p>
    <w:p w14:paraId="38DCBFD0" w14:textId="64EE27CB" w:rsidR="00A15309" w:rsidRDefault="00A15309" w:rsidP="002C05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>
        <w:rPr>
          <w:rFonts w:ascii="Twinkl" w:hAnsi="Twinkl" w:cs="ComicSansMS"/>
          <w:sz w:val="20"/>
          <w:szCs w:val="20"/>
        </w:rPr>
        <w:t xml:space="preserve">Administration of Medication forms will be audited termly to ensure that parents have signed these and have been made aware of </w:t>
      </w:r>
      <w:r w:rsidR="00B74D3A">
        <w:rPr>
          <w:rFonts w:ascii="Twinkl" w:hAnsi="Twinkl" w:cs="ComicSansMS"/>
          <w:sz w:val="20"/>
          <w:szCs w:val="20"/>
        </w:rPr>
        <w:t xml:space="preserve">medication that has been administered. </w:t>
      </w:r>
    </w:p>
    <w:p w14:paraId="1470332C" w14:textId="417A4B77" w:rsidR="00B74D3A" w:rsidRDefault="00B74D3A" w:rsidP="002C05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>
        <w:rPr>
          <w:rFonts w:ascii="Twinkl" w:hAnsi="Twinkl" w:cs="ComicSansMS"/>
          <w:sz w:val="20"/>
          <w:szCs w:val="20"/>
        </w:rPr>
        <w:t xml:space="preserve">Staff will verbally inform parents at collection that their child has had medication administered </w:t>
      </w:r>
      <w:r w:rsidR="00415866">
        <w:rPr>
          <w:rFonts w:ascii="Twinkl" w:hAnsi="Twinkl" w:cs="ComicSansMS"/>
          <w:sz w:val="20"/>
          <w:szCs w:val="20"/>
        </w:rPr>
        <w:t xml:space="preserve">and that the form must be completed on the APP as soon as possible. </w:t>
      </w:r>
    </w:p>
    <w:p w14:paraId="28205668" w14:textId="6FEB99F6" w:rsidR="00415866" w:rsidRDefault="00415866" w:rsidP="002C05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>
        <w:rPr>
          <w:rFonts w:ascii="Twinkl" w:hAnsi="Twinkl" w:cs="ComicSansMS"/>
          <w:sz w:val="20"/>
          <w:szCs w:val="20"/>
        </w:rPr>
        <w:t xml:space="preserve">If a Parent is unable to use the app for any reason, a printed version of the form will be used to ensure there are signed by parents. </w:t>
      </w:r>
    </w:p>
    <w:p w14:paraId="6F9694E1" w14:textId="77777777" w:rsidR="000936EA" w:rsidRDefault="000936EA" w:rsidP="000936EA">
      <w:pPr>
        <w:pStyle w:val="ListParagraph"/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</w:p>
    <w:p w14:paraId="2E8BF046" w14:textId="77777777" w:rsidR="00931C9C" w:rsidRPr="00931C9C" w:rsidRDefault="00931C9C" w:rsidP="000936EA">
      <w:pPr>
        <w:autoSpaceDE w:val="0"/>
        <w:autoSpaceDN w:val="0"/>
        <w:adjustRightInd w:val="0"/>
        <w:spacing w:after="0" w:line="240" w:lineRule="auto"/>
        <w:jc w:val="center"/>
        <w:rPr>
          <w:rFonts w:ascii="Twinkl" w:hAnsi="Twinkl" w:cs="ComicSansMS"/>
          <w:b/>
          <w:bCs/>
          <w:sz w:val="20"/>
          <w:szCs w:val="20"/>
        </w:rPr>
      </w:pPr>
      <w:r w:rsidRPr="00931C9C">
        <w:rPr>
          <w:rFonts w:ascii="Twinkl" w:hAnsi="Twinkl" w:cs="ComicSansMS"/>
          <w:b/>
          <w:bCs/>
          <w:sz w:val="20"/>
          <w:szCs w:val="20"/>
        </w:rPr>
        <w:t>Authorisation and Parental Rights and Responsibilities (PRR)</w:t>
      </w:r>
    </w:p>
    <w:p w14:paraId="498D88B1" w14:textId="77777777" w:rsidR="00931C9C" w:rsidRPr="00931C9C" w:rsidRDefault="00931C9C" w:rsidP="00931C9C">
      <w:p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 xml:space="preserve">Under Scottish law and Care Inspectorate guidance, only a person with </w:t>
      </w:r>
      <w:r w:rsidRPr="00931C9C">
        <w:rPr>
          <w:rFonts w:ascii="Twinkl" w:hAnsi="Twinkl" w:cs="ComicSansMS"/>
          <w:b/>
          <w:bCs/>
          <w:sz w:val="20"/>
          <w:szCs w:val="20"/>
        </w:rPr>
        <w:t>Parental Rights and Responsibilities (PRR)</w:t>
      </w:r>
      <w:r w:rsidRPr="00931C9C">
        <w:rPr>
          <w:rFonts w:ascii="Twinkl" w:hAnsi="Twinkl" w:cs="ComicSansMS"/>
          <w:sz w:val="20"/>
          <w:szCs w:val="20"/>
        </w:rPr>
        <w:t xml:space="preserve"> for a child can authorise the Early Learning and Childcare (ELC) setting to administer medication.</w:t>
      </w:r>
    </w:p>
    <w:p w14:paraId="55C1D148" w14:textId="77777777" w:rsidR="00931C9C" w:rsidRPr="00931C9C" w:rsidRDefault="00931C9C" w:rsidP="00931C9C">
      <w:p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b/>
          <w:bCs/>
          <w:sz w:val="20"/>
          <w:szCs w:val="20"/>
        </w:rPr>
      </w:pPr>
      <w:r w:rsidRPr="00931C9C">
        <w:rPr>
          <w:rFonts w:ascii="Twinkl" w:hAnsi="Twinkl" w:cs="ComicSansMS"/>
          <w:b/>
          <w:bCs/>
          <w:sz w:val="20"/>
          <w:szCs w:val="20"/>
        </w:rPr>
        <w:t>Who can provide authorisation</w:t>
      </w:r>
    </w:p>
    <w:p w14:paraId="07868EFA" w14:textId="77777777" w:rsidR="00931C9C" w:rsidRPr="00931C9C" w:rsidRDefault="00931C9C" w:rsidP="00931C9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 xml:space="preserve">A person with </w:t>
      </w:r>
      <w:r w:rsidRPr="00931C9C">
        <w:rPr>
          <w:rFonts w:ascii="Twinkl" w:hAnsi="Twinkl" w:cs="ComicSansMS"/>
          <w:b/>
          <w:bCs/>
          <w:sz w:val="20"/>
          <w:szCs w:val="20"/>
        </w:rPr>
        <w:t>Parental Rights and Responsibilities (PRR)</w:t>
      </w:r>
      <w:r w:rsidRPr="00931C9C">
        <w:rPr>
          <w:rFonts w:ascii="Twinkl" w:hAnsi="Twinkl" w:cs="ComicSansMS"/>
          <w:sz w:val="20"/>
          <w:szCs w:val="20"/>
        </w:rPr>
        <w:t xml:space="preserve"> as defined in the </w:t>
      </w:r>
      <w:r w:rsidRPr="00931C9C">
        <w:rPr>
          <w:rFonts w:ascii="Twinkl" w:hAnsi="Twinkl" w:cs="ComicSansMS"/>
          <w:i/>
          <w:iCs/>
          <w:sz w:val="20"/>
          <w:szCs w:val="20"/>
        </w:rPr>
        <w:t>Children (Scotland) Act 1995</w:t>
      </w:r>
      <w:r w:rsidRPr="00931C9C">
        <w:rPr>
          <w:rFonts w:ascii="Twinkl" w:hAnsi="Twinkl" w:cs="ComicSansMS"/>
          <w:sz w:val="20"/>
          <w:szCs w:val="20"/>
        </w:rPr>
        <w:t xml:space="preserve"> — typically:</w:t>
      </w:r>
    </w:p>
    <w:p w14:paraId="5027BBCD" w14:textId="77777777" w:rsidR="00931C9C" w:rsidRPr="00931C9C" w:rsidRDefault="00931C9C" w:rsidP="00931C9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 xml:space="preserve">The child’s </w:t>
      </w:r>
      <w:r w:rsidRPr="00931C9C">
        <w:rPr>
          <w:rFonts w:ascii="Twinkl" w:hAnsi="Twinkl" w:cs="ComicSansMS"/>
          <w:b/>
          <w:bCs/>
          <w:sz w:val="20"/>
          <w:szCs w:val="20"/>
        </w:rPr>
        <w:t>biological mother</w:t>
      </w:r>
      <w:r w:rsidRPr="00931C9C">
        <w:rPr>
          <w:rFonts w:ascii="Twinkl" w:hAnsi="Twinkl" w:cs="ComicSansMS"/>
          <w:sz w:val="20"/>
          <w:szCs w:val="20"/>
        </w:rPr>
        <w:t xml:space="preserve"> (automatically has PRR).</w:t>
      </w:r>
    </w:p>
    <w:p w14:paraId="1F5C7D0B" w14:textId="77777777" w:rsidR="00931C9C" w:rsidRPr="00931C9C" w:rsidRDefault="00931C9C" w:rsidP="00931C9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 xml:space="preserve">The </w:t>
      </w:r>
      <w:r w:rsidRPr="00931C9C">
        <w:rPr>
          <w:rFonts w:ascii="Twinkl" w:hAnsi="Twinkl" w:cs="ComicSansMS"/>
          <w:b/>
          <w:bCs/>
          <w:sz w:val="20"/>
          <w:szCs w:val="20"/>
        </w:rPr>
        <w:t>father</w:t>
      </w:r>
      <w:r w:rsidRPr="00931C9C">
        <w:rPr>
          <w:rFonts w:ascii="Twinkl" w:hAnsi="Twinkl" w:cs="ComicSansMS"/>
          <w:sz w:val="20"/>
          <w:szCs w:val="20"/>
        </w:rPr>
        <w:t xml:space="preserve"> if married to the mother at the time of the child’s conception or subsequently.</w:t>
      </w:r>
    </w:p>
    <w:p w14:paraId="3A35D31B" w14:textId="77777777" w:rsidR="00931C9C" w:rsidRPr="00931C9C" w:rsidRDefault="00931C9C" w:rsidP="00931C9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 xml:space="preserve">An </w:t>
      </w:r>
      <w:r w:rsidRPr="00931C9C">
        <w:rPr>
          <w:rFonts w:ascii="Twinkl" w:hAnsi="Twinkl" w:cs="ComicSansMS"/>
          <w:b/>
          <w:bCs/>
          <w:sz w:val="20"/>
          <w:szCs w:val="20"/>
        </w:rPr>
        <w:t>unmarried father</w:t>
      </w:r>
      <w:r w:rsidRPr="00931C9C">
        <w:rPr>
          <w:rFonts w:ascii="Twinkl" w:hAnsi="Twinkl" w:cs="ComicSansMS"/>
          <w:sz w:val="20"/>
          <w:szCs w:val="20"/>
        </w:rPr>
        <w:t xml:space="preserve"> who is named on the child’s birth certificate (for births registered in Scotland on or after 4 May 2006).</w:t>
      </w:r>
    </w:p>
    <w:p w14:paraId="3DF090EB" w14:textId="77777777" w:rsidR="00931C9C" w:rsidRPr="00931C9C" w:rsidRDefault="00931C9C" w:rsidP="00931C9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lastRenderedPageBreak/>
        <w:t xml:space="preserve">Anyone else who has been </w:t>
      </w:r>
      <w:r w:rsidRPr="00931C9C">
        <w:rPr>
          <w:rFonts w:ascii="Twinkl" w:hAnsi="Twinkl" w:cs="ComicSansMS"/>
          <w:b/>
          <w:bCs/>
          <w:sz w:val="20"/>
          <w:szCs w:val="20"/>
        </w:rPr>
        <w:t>granted PRR by a court order</w:t>
      </w:r>
      <w:r w:rsidRPr="00931C9C">
        <w:rPr>
          <w:rFonts w:ascii="Twinkl" w:hAnsi="Twinkl" w:cs="ComicSansMS"/>
          <w:sz w:val="20"/>
          <w:szCs w:val="20"/>
        </w:rPr>
        <w:t xml:space="preserve"> (for example, an adoptive parent, guardian, or local authority if the child is looked after).</w:t>
      </w:r>
    </w:p>
    <w:p w14:paraId="50F4669B" w14:textId="77777777" w:rsidR="00931C9C" w:rsidRPr="00931C9C" w:rsidRDefault="00931C9C" w:rsidP="00931C9C">
      <w:p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>Only these individuals can sign consent forms authorising the setting to administer prescribed or non-prescribed medication.</w:t>
      </w:r>
    </w:p>
    <w:p w14:paraId="4B111CFA" w14:textId="77777777" w:rsidR="00931C9C" w:rsidRPr="00931C9C" w:rsidRDefault="00931C9C" w:rsidP="00931C9C">
      <w:p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b/>
          <w:bCs/>
          <w:sz w:val="20"/>
          <w:szCs w:val="20"/>
        </w:rPr>
      </w:pPr>
      <w:r w:rsidRPr="00931C9C">
        <w:rPr>
          <w:rFonts w:ascii="Twinkl" w:hAnsi="Twinkl" w:cs="ComicSansMS"/>
          <w:b/>
          <w:bCs/>
          <w:sz w:val="20"/>
          <w:szCs w:val="20"/>
        </w:rPr>
        <w:t>Delegated or emergency consent</w:t>
      </w:r>
    </w:p>
    <w:p w14:paraId="6A918666" w14:textId="77777777" w:rsidR="00931C9C" w:rsidRPr="00931C9C" w:rsidRDefault="00931C9C" w:rsidP="00931C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 xml:space="preserve">Where the person with PRR cannot be present, they may </w:t>
      </w:r>
      <w:r w:rsidRPr="00931C9C">
        <w:rPr>
          <w:rFonts w:ascii="Twinkl" w:hAnsi="Twinkl" w:cs="ComicSansMS"/>
          <w:b/>
          <w:bCs/>
          <w:sz w:val="20"/>
          <w:szCs w:val="20"/>
        </w:rPr>
        <w:t>delegate authority in writing</w:t>
      </w:r>
      <w:r w:rsidRPr="00931C9C">
        <w:rPr>
          <w:rFonts w:ascii="Twinkl" w:hAnsi="Twinkl" w:cs="ComicSansMS"/>
          <w:sz w:val="20"/>
          <w:szCs w:val="20"/>
        </w:rPr>
        <w:t xml:space="preserve"> to another named individual (e.g., a grandparent or childminder) for specific medical authorisations.</w:t>
      </w:r>
    </w:p>
    <w:p w14:paraId="6BDDE040" w14:textId="77777777" w:rsidR="00931C9C" w:rsidRPr="00931C9C" w:rsidRDefault="00931C9C" w:rsidP="00931C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 xml:space="preserve">The delegation must be </w:t>
      </w:r>
      <w:r w:rsidRPr="00931C9C">
        <w:rPr>
          <w:rFonts w:ascii="Twinkl" w:hAnsi="Twinkl" w:cs="ComicSansMS"/>
          <w:b/>
          <w:bCs/>
          <w:sz w:val="20"/>
          <w:szCs w:val="20"/>
        </w:rPr>
        <w:t>clearly documented and signed</w:t>
      </w:r>
      <w:r w:rsidRPr="00931C9C">
        <w:rPr>
          <w:rFonts w:ascii="Twinkl" w:hAnsi="Twinkl" w:cs="ComicSansMS"/>
          <w:sz w:val="20"/>
          <w:szCs w:val="20"/>
        </w:rPr>
        <w:t xml:space="preserve"> by the person with PRR, specifying:</w:t>
      </w:r>
    </w:p>
    <w:p w14:paraId="39F0F85A" w14:textId="77777777" w:rsidR="00931C9C" w:rsidRPr="00931C9C" w:rsidRDefault="00931C9C" w:rsidP="00931C9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>The name of the delegated individual</w:t>
      </w:r>
    </w:p>
    <w:p w14:paraId="6C746D55" w14:textId="77777777" w:rsidR="00931C9C" w:rsidRPr="00931C9C" w:rsidRDefault="00931C9C" w:rsidP="00931C9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>The child’s name</w:t>
      </w:r>
    </w:p>
    <w:p w14:paraId="49935183" w14:textId="77777777" w:rsidR="00931C9C" w:rsidRPr="00931C9C" w:rsidRDefault="00931C9C" w:rsidP="00931C9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>The medication to be administered</w:t>
      </w:r>
    </w:p>
    <w:p w14:paraId="33AADD57" w14:textId="77777777" w:rsidR="00931C9C" w:rsidRPr="00931C9C" w:rsidRDefault="00931C9C" w:rsidP="00931C9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>The duration of the authorisation</w:t>
      </w:r>
    </w:p>
    <w:p w14:paraId="3CFA28C6" w14:textId="77777777" w:rsidR="00931C9C" w:rsidRPr="00931C9C" w:rsidRDefault="00931C9C" w:rsidP="00931C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 xml:space="preserve">The ELC service </w:t>
      </w:r>
      <w:r w:rsidRPr="00931C9C">
        <w:rPr>
          <w:rFonts w:ascii="Twinkl" w:hAnsi="Twinkl" w:cs="ComicSansMS"/>
          <w:b/>
          <w:bCs/>
          <w:sz w:val="20"/>
          <w:szCs w:val="20"/>
        </w:rPr>
        <w:t>must not accept verbal consent</w:t>
      </w:r>
      <w:r w:rsidRPr="00931C9C">
        <w:rPr>
          <w:rFonts w:ascii="Twinkl" w:hAnsi="Twinkl" w:cs="ComicSansMS"/>
          <w:sz w:val="20"/>
          <w:szCs w:val="20"/>
        </w:rPr>
        <w:t xml:space="preserve"> from anyone who does not have PRR or written delegated authority.</w:t>
      </w:r>
    </w:p>
    <w:p w14:paraId="63FB096C" w14:textId="77777777" w:rsidR="00931C9C" w:rsidRPr="00931C9C" w:rsidRDefault="00931C9C" w:rsidP="00931C9C">
      <w:p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b/>
          <w:bCs/>
          <w:sz w:val="20"/>
          <w:szCs w:val="20"/>
        </w:rPr>
      </w:pPr>
      <w:r w:rsidRPr="00931C9C">
        <w:rPr>
          <w:rFonts w:ascii="Twinkl" w:hAnsi="Twinkl" w:cs="ComicSansMS"/>
          <w:b/>
          <w:bCs/>
          <w:sz w:val="20"/>
          <w:szCs w:val="20"/>
        </w:rPr>
        <w:t>Looked After Children</w:t>
      </w:r>
    </w:p>
    <w:p w14:paraId="30A557BE" w14:textId="77777777" w:rsidR="00931C9C" w:rsidRPr="00931C9C" w:rsidRDefault="00931C9C" w:rsidP="00931C9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 xml:space="preserve">For children who are </w:t>
      </w:r>
      <w:r w:rsidRPr="00931C9C">
        <w:rPr>
          <w:rFonts w:ascii="Twinkl" w:hAnsi="Twinkl" w:cs="ComicSansMS"/>
          <w:b/>
          <w:bCs/>
          <w:sz w:val="20"/>
          <w:szCs w:val="20"/>
        </w:rPr>
        <w:t>Looked After</w:t>
      </w:r>
      <w:r w:rsidRPr="00931C9C">
        <w:rPr>
          <w:rFonts w:ascii="Twinkl" w:hAnsi="Twinkl" w:cs="ComicSansMS"/>
          <w:sz w:val="20"/>
          <w:szCs w:val="20"/>
        </w:rPr>
        <w:t xml:space="preserve"> by the local authority, the </w:t>
      </w:r>
      <w:r w:rsidRPr="00931C9C">
        <w:rPr>
          <w:rFonts w:ascii="Twinkl" w:hAnsi="Twinkl" w:cs="ComicSansMS"/>
          <w:b/>
          <w:bCs/>
          <w:sz w:val="20"/>
          <w:szCs w:val="20"/>
        </w:rPr>
        <w:t>Corporate Parent (the Local Authority)</w:t>
      </w:r>
      <w:r w:rsidRPr="00931C9C">
        <w:rPr>
          <w:rFonts w:ascii="Twinkl" w:hAnsi="Twinkl" w:cs="ComicSansMS"/>
          <w:sz w:val="20"/>
          <w:szCs w:val="20"/>
        </w:rPr>
        <w:t xml:space="preserve"> holds PRR and must provide written consent for administration of medication.</w:t>
      </w:r>
    </w:p>
    <w:p w14:paraId="5223CFE4" w14:textId="77777777" w:rsidR="00931C9C" w:rsidRPr="00931C9C" w:rsidRDefault="00931C9C" w:rsidP="00931C9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 xml:space="preserve">The child’s </w:t>
      </w:r>
      <w:r w:rsidRPr="00931C9C">
        <w:rPr>
          <w:rFonts w:ascii="Twinkl" w:hAnsi="Twinkl" w:cs="ComicSansMS"/>
          <w:b/>
          <w:bCs/>
          <w:sz w:val="20"/>
          <w:szCs w:val="20"/>
        </w:rPr>
        <w:t>social worker or designated officer</w:t>
      </w:r>
      <w:r w:rsidRPr="00931C9C">
        <w:rPr>
          <w:rFonts w:ascii="Twinkl" w:hAnsi="Twinkl" w:cs="ComicSansMS"/>
          <w:sz w:val="20"/>
          <w:szCs w:val="20"/>
        </w:rPr>
        <w:t xml:space="preserve"> can sign consent forms on behalf of the local authority.</w:t>
      </w:r>
    </w:p>
    <w:p w14:paraId="42EB3CB0" w14:textId="77777777" w:rsidR="00931C9C" w:rsidRPr="00931C9C" w:rsidRDefault="00931C9C" w:rsidP="00931C9C">
      <w:p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b/>
          <w:bCs/>
          <w:sz w:val="20"/>
          <w:szCs w:val="20"/>
        </w:rPr>
      </w:pPr>
      <w:r w:rsidRPr="00931C9C">
        <w:rPr>
          <w:rFonts w:ascii="Twinkl" w:hAnsi="Twinkl" w:cs="ComicSansMS"/>
          <w:b/>
          <w:bCs/>
          <w:sz w:val="20"/>
          <w:szCs w:val="20"/>
        </w:rPr>
        <w:t>Verification of PRR</w:t>
      </w:r>
    </w:p>
    <w:p w14:paraId="55840421" w14:textId="77777777" w:rsidR="00931C9C" w:rsidRPr="00931C9C" w:rsidRDefault="00931C9C" w:rsidP="00931C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 xml:space="preserve">The setting must </w:t>
      </w:r>
      <w:r w:rsidRPr="00931C9C">
        <w:rPr>
          <w:rFonts w:ascii="Twinkl" w:hAnsi="Twinkl" w:cs="ComicSansMS"/>
          <w:b/>
          <w:bCs/>
          <w:sz w:val="20"/>
          <w:szCs w:val="20"/>
        </w:rPr>
        <w:t>verify who holds PRR</w:t>
      </w:r>
      <w:r w:rsidRPr="00931C9C">
        <w:rPr>
          <w:rFonts w:ascii="Twinkl" w:hAnsi="Twinkl" w:cs="ComicSansMS"/>
          <w:sz w:val="20"/>
          <w:szCs w:val="20"/>
        </w:rPr>
        <w:t xml:space="preserve"> for each child at enrolment and record this information clearly in the child’s registration file.</w:t>
      </w:r>
    </w:p>
    <w:p w14:paraId="449F37CF" w14:textId="77777777" w:rsidR="00931C9C" w:rsidRPr="00931C9C" w:rsidRDefault="00931C9C" w:rsidP="00931C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931C9C">
        <w:rPr>
          <w:rFonts w:ascii="Twinkl" w:hAnsi="Twinkl" w:cs="ComicSansMS"/>
          <w:sz w:val="20"/>
          <w:szCs w:val="20"/>
        </w:rPr>
        <w:t xml:space="preserve">Staff should ensure that medication consent forms are </w:t>
      </w:r>
      <w:r w:rsidRPr="00931C9C">
        <w:rPr>
          <w:rFonts w:ascii="Twinkl" w:hAnsi="Twinkl" w:cs="ComicSansMS"/>
          <w:b/>
          <w:bCs/>
          <w:sz w:val="20"/>
          <w:szCs w:val="20"/>
        </w:rPr>
        <w:t>only signed by individuals with PRR or authorised delegates</w:t>
      </w:r>
      <w:r w:rsidRPr="00931C9C">
        <w:rPr>
          <w:rFonts w:ascii="Twinkl" w:hAnsi="Twinkl" w:cs="ComicSansMS"/>
          <w:sz w:val="20"/>
          <w:szCs w:val="20"/>
        </w:rPr>
        <w:t>.</w:t>
      </w:r>
    </w:p>
    <w:p w14:paraId="03F4DC17" w14:textId="77777777" w:rsidR="00931C9C" w:rsidRPr="00931C9C" w:rsidRDefault="00931C9C" w:rsidP="00931C9C">
      <w:p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</w:p>
    <w:p w14:paraId="22AA0953" w14:textId="6F84D823" w:rsidR="00E73DFD" w:rsidRPr="000936EA" w:rsidRDefault="000936EA" w:rsidP="000936EA">
      <w:pPr>
        <w:autoSpaceDE w:val="0"/>
        <w:autoSpaceDN w:val="0"/>
        <w:adjustRightInd w:val="0"/>
        <w:spacing w:after="0" w:line="240" w:lineRule="auto"/>
        <w:jc w:val="center"/>
        <w:rPr>
          <w:rFonts w:ascii="Twinkl" w:hAnsi="Twinkl" w:cs="ComicSansMS"/>
          <w:b/>
          <w:bCs/>
          <w:sz w:val="20"/>
          <w:szCs w:val="20"/>
        </w:rPr>
      </w:pPr>
      <w:r w:rsidRPr="000936EA">
        <w:rPr>
          <w:rFonts w:ascii="Twinkl" w:hAnsi="Twinkl" w:cs="ComicSansMS"/>
          <w:b/>
          <w:bCs/>
          <w:sz w:val="20"/>
          <w:szCs w:val="20"/>
        </w:rPr>
        <w:t>Safe Storage of Medication</w:t>
      </w:r>
    </w:p>
    <w:p w14:paraId="703471B1" w14:textId="77777777" w:rsidR="00010260" w:rsidRPr="00474337" w:rsidRDefault="00010260" w:rsidP="00E73DFD">
      <w:p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>The manager and staff must ensure that all medications are inaccessible to children, stored out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 xml:space="preserve">of children's reach, in their </w:t>
      </w:r>
      <w:r w:rsidRPr="00474337">
        <w:rPr>
          <w:rFonts w:ascii="Twinkl" w:hAnsi="Twinkl" w:cs="ComicSansMS"/>
          <w:b/>
          <w:sz w:val="20"/>
          <w:szCs w:val="20"/>
        </w:rPr>
        <w:t>original containers and clearly labelled with their contents and the</w:t>
      </w:r>
      <w:r w:rsidR="00E73DFD" w:rsidRPr="00474337">
        <w:rPr>
          <w:rFonts w:ascii="Twinkl" w:hAnsi="Twinkl" w:cs="ComicSansMS"/>
          <w:b/>
          <w:sz w:val="20"/>
          <w:szCs w:val="20"/>
        </w:rPr>
        <w:t xml:space="preserve"> </w:t>
      </w:r>
      <w:r w:rsidRPr="00474337">
        <w:rPr>
          <w:rFonts w:ascii="Twinkl" w:hAnsi="Twinkl" w:cs="ComicSansMS"/>
          <w:b/>
          <w:sz w:val="20"/>
          <w:szCs w:val="20"/>
        </w:rPr>
        <w:t>child's name</w:t>
      </w:r>
      <w:r w:rsidRPr="00474337">
        <w:rPr>
          <w:rFonts w:ascii="Twinkl" w:hAnsi="Twinkl" w:cs="ComicSansMS"/>
          <w:sz w:val="20"/>
          <w:szCs w:val="20"/>
        </w:rPr>
        <w:t>. It should be noted that specific medications have storage implications for the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>setting:</w:t>
      </w:r>
    </w:p>
    <w:p w14:paraId="26FA8A83" w14:textId="77777777" w:rsidR="0050330E" w:rsidRPr="00474337" w:rsidRDefault="0050330E" w:rsidP="00E73DFD">
      <w:p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</w:p>
    <w:p w14:paraId="74A09D20" w14:textId="6BCC0024" w:rsidR="00010260" w:rsidRPr="00474337" w:rsidRDefault="00010260" w:rsidP="00E73DF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 xml:space="preserve">Controlled Drugs: We will not </w:t>
      </w:r>
      <w:r w:rsidR="00B0417B">
        <w:rPr>
          <w:rFonts w:ascii="Twinkl" w:hAnsi="Twinkl" w:cs="ComicSansMS"/>
          <w:sz w:val="20"/>
          <w:szCs w:val="20"/>
        </w:rPr>
        <w:t>store</w:t>
      </w:r>
      <w:r w:rsidRPr="00474337">
        <w:rPr>
          <w:rFonts w:ascii="Twinkl" w:hAnsi="Twinkl" w:cs="ComicSansMS"/>
          <w:sz w:val="20"/>
          <w:szCs w:val="20"/>
        </w:rPr>
        <w:t xml:space="preserve"> any cont</w:t>
      </w:r>
      <w:r w:rsidR="00E73DFD" w:rsidRPr="00474337">
        <w:rPr>
          <w:rFonts w:ascii="Twinkl" w:hAnsi="Twinkl" w:cs="ComicSansMS"/>
          <w:sz w:val="20"/>
          <w:szCs w:val="20"/>
        </w:rPr>
        <w:t xml:space="preserve">rolled drugs within the nursery </w:t>
      </w:r>
      <w:r w:rsidRPr="00474337">
        <w:rPr>
          <w:rFonts w:ascii="Twinkl" w:hAnsi="Twinkl" w:cs="ComicSansMS"/>
          <w:sz w:val="20"/>
          <w:szCs w:val="20"/>
        </w:rPr>
        <w:t>at any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>time. If a child requires administration of a controlled drug, then the parent must come to the nursery to administer when required.</w:t>
      </w:r>
    </w:p>
    <w:p w14:paraId="50B8D726" w14:textId="77777777" w:rsidR="00E73DFD" w:rsidRPr="00474337" w:rsidRDefault="00010260" w:rsidP="0001026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>Pain medications: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>All medications will be kept in a cupboard out of the children's reach;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>each child's medication will be kept in the “me</w:t>
      </w:r>
      <w:r w:rsidR="00E73DFD" w:rsidRPr="00474337">
        <w:rPr>
          <w:rFonts w:ascii="Twinkl" w:hAnsi="Twinkl" w:cs="ComicSansMS"/>
          <w:sz w:val="20"/>
          <w:szCs w:val="20"/>
        </w:rPr>
        <w:t>dication” container with the</w:t>
      </w:r>
      <w:r w:rsidRPr="00474337">
        <w:rPr>
          <w:rFonts w:ascii="Twinkl" w:hAnsi="Twinkl" w:cs="ComicSansMS"/>
          <w:sz w:val="20"/>
          <w:szCs w:val="20"/>
        </w:rPr>
        <w:t xml:space="preserve"> child's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>name on the bottle / box. Staff should record when medication comes into nursery,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>detailing the name of medication, child's name, date when the medication was given to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 xml:space="preserve">the setting and date returned home. </w:t>
      </w:r>
    </w:p>
    <w:p w14:paraId="5E22B6D4" w14:textId="0A3B7086" w:rsidR="00E73DFD" w:rsidRPr="00474337" w:rsidRDefault="00010260" w:rsidP="0001026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>Allergy Medication/Anti-histamines: These will be kept out of the children's reach and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 xml:space="preserve">stored in the “medication” </w:t>
      </w:r>
      <w:r w:rsidR="000538C7">
        <w:rPr>
          <w:rFonts w:ascii="Twinkl" w:hAnsi="Twinkl" w:cs="ComicSansMS"/>
          <w:sz w:val="20"/>
          <w:szCs w:val="20"/>
        </w:rPr>
        <w:t xml:space="preserve">cabinet </w:t>
      </w:r>
      <w:r w:rsidRPr="00474337">
        <w:rPr>
          <w:rFonts w:ascii="Twinkl" w:hAnsi="Twinkl" w:cs="ComicSansMS"/>
          <w:sz w:val="20"/>
          <w:szCs w:val="20"/>
        </w:rPr>
        <w:t>with the child's name on the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>bottle / medication box. All details should be recorde</w:t>
      </w:r>
      <w:r w:rsidR="00E73DFD" w:rsidRPr="00474337">
        <w:rPr>
          <w:rFonts w:ascii="Twinkl" w:hAnsi="Twinkl" w:cs="ComicSansMS"/>
          <w:sz w:val="20"/>
          <w:szCs w:val="20"/>
        </w:rPr>
        <w:t>d</w:t>
      </w:r>
      <w:r w:rsidR="0050330E" w:rsidRPr="00474337">
        <w:rPr>
          <w:rFonts w:ascii="Twinkl" w:hAnsi="Twinkl" w:cs="ComicSansMS"/>
          <w:sz w:val="20"/>
          <w:szCs w:val="20"/>
        </w:rPr>
        <w:t xml:space="preserve"> on our medication record </w:t>
      </w:r>
      <w:r w:rsidR="00791B1F" w:rsidRPr="00474337">
        <w:rPr>
          <w:rFonts w:ascii="Twinkl" w:hAnsi="Twinkl" w:cs="ComicSansMS"/>
          <w:sz w:val="20"/>
          <w:szCs w:val="20"/>
        </w:rPr>
        <w:t>form.</w:t>
      </w:r>
    </w:p>
    <w:p w14:paraId="74CCBDAD" w14:textId="544403CB" w:rsidR="00E73DFD" w:rsidRPr="00474337" w:rsidRDefault="00010260" w:rsidP="0001026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 xml:space="preserve">Epi-pens: Where a child requires an epi-pen for allergic reactions, </w:t>
      </w:r>
      <w:r w:rsidR="00B6667E">
        <w:rPr>
          <w:rFonts w:ascii="Twinkl" w:hAnsi="Twinkl" w:cs="ComicSansMS"/>
          <w:sz w:val="20"/>
          <w:szCs w:val="20"/>
        </w:rPr>
        <w:t xml:space="preserve">The Medication will be stored within the playroom, out of reach of children. Epipens will be taken on </w:t>
      </w:r>
      <w:r w:rsidR="00FC3E1A">
        <w:rPr>
          <w:rFonts w:ascii="Twinkl" w:hAnsi="Twinkl" w:cs="ComicSansMS"/>
          <w:sz w:val="20"/>
          <w:szCs w:val="20"/>
        </w:rPr>
        <w:t>any outings to ensure the child always has access to their emergency medication. T</w:t>
      </w:r>
      <w:r w:rsidRPr="00474337">
        <w:rPr>
          <w:rFonts w:ascii="Twinkl" w:hAnsi="Twinkl" w:cs="ComicSansMS"/>
          <w:sz w:val="20"/>
          <w:szCs w:val="20"/>
        </w:rPr>
        <w:t>he setting should also be issued with one if possible. Only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>members of staff who are trained to administer this medi</w:t>
      </w:r>
      <w:r w:rsidR="0050330E" w:rsidRPr="00474337">
        <w:rPr>
          <w:rFonts w:ascii="Twinkl" w:hAnsi="Twinkl" w:cs="ComicSansMS"/>
          <w:sz w:val="20"/>
          <w:szCs w:val="20"/>
        </w:rPr>
        <w:t>cation will be allowed to do so.</w:t>
      </w:r>
    </w:p>
    <w:p w14:paraId="6D958DCE" w14:textId="77777777" w:rsidR="00010260" w:rsidRPr="00474337" w:rsidRDefault="00010260" w:rsidP="0001026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winkl" w:hAnsi="Twinkl" w:cs="ComicSansMS"/>
          <w:sz w:val="20"/>
          <w:szCs w:val="20"/>
        </w:rPr>
      </w:pPr>
      <w:r w:rsidRPr="00474337">
        <w:rPr>
          <w:rFonts w:ascii="Twinkl" w:hAnsi="Twinkl" w:cs="ComicSansMS"/>
          <w:sz w:val="20"/>
          <w:szCs w:val="20"/>
        </w:rPr>
        <w:t xml:space="preserve">Asthma Medications: The child should have an </w:t>
      </w:r>
      <w:r w:rsidR="0050330E" w:rsidRPr="00474337">
        <w:rPr>
          <w:rFonts w:ascii="Twinkl" w:hAnsi="Twinkl" w:cs="ComicSansMS"/>
          <w:sz w:val="20"/>
          <w:szCs w:val="20"/>
        </w:rPr>
        <w:t>inhaler</w:t>
      </w:r>
      <w:r w:rsidRPr="00474337">
        <w:rPr>
          <w:rFonts w:ascii="Twinkl" w:hAnsi="Twinkl" w:cs="ComicSansMS"/>
          <w:sz w:val="20"/>
          <w:szCs w:val="20"/>
        </w:rPr>
        <w:t xml:space="preserve"> stored at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 xml:space="preserve">nursery in the case of an emergency, each child's inhaler should be kept in </w:t>
      </w:r>
      <w:r w:rsidR="0050330E" w:rsidRPr="00474337">
        <w:rPr>
          <w:rFonts w:ascii="Twinkl" w:hAnsi="Twinkl" w:cs="ComicSansMS"/>
          <w:sz w:val="20"/>
          <w:szCs w:val="20"/>
        </w:rPr>
        <w:t>their own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 xml:space="preserve">“medication” container, </w:t>
      </w:r>
      <w:r w:rsidR="00791B1F" w:rsidRPr="00474337">
        <w:rPr>
          <w:rFonts w:ascii="Twinkl" w:hAnsi="Twinkl" w:cs="ComicSansMS"/>
          <w:sz w:val="20"/>
          <w:szCs w:val="20"/>
        </w:rPr>
        <w:t>and all</w:t>
      </w:r>
      <w:r w:rsidRPr="00474337">
        <w:rPr>
          <w:rFonts w:ascii="Twinkl" w:hAnsi="Twinkl" w:cs="ComicSansMS"/>
          <w:sz w:val="20"/>
          <w:szCs w:val="20"/>
        </w:rPr>
        <w:t xml:space="preserve"> details should be recorded on our medication record form.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>The form should also detail the date when the inhaler was given to the setting and</w:t>
      </w:r>
      <w:r w:rsidR="00E73DFD" w:rsidRPr="00474337">
        <w:rPr>
          <w:rFonts w:ascii="Twinkl" w:hAnsi="Twinkl" w:cs="ComicSansMS"/>
          <w:sz w:val="20"/>
          <w:szCs w:val="20"/>
        </w:rPr>
        <w:t xml:space="preserve"> </w:t>
      </w:r>
      <w:r w:rsidRPr="00474337">
        <w:rPr>
          <w:rFonts w:ascii="Twinkl" w:hAnsi="Twinkl" w:cs="ComicSansMS"/>
          <w:sz w:val="20"/>
          <w:szCs w:val="20"/>
        </w:rPr>
        <w:t xml:space="preserve">returned home </w:t>
      </w:r>
      <w:r w:rsidR="0050330E" w:rsidRPr="00474337">
        <w:rPr>
          <w:rFonts w:ascii="Twinkl" w:hAnsi="Twinkl" w:cs="ComicSansMS"/>
          <w:sz w:val="20"/>
          <w:szCs w:val="20"/>
        </w:rPr>
        <w:t xml:space="preserve">or stored securely in nursery. </w:t>
      </w:r>
    </w:p>
    <w:tbl>
      <w:tblPr>
        <w:tblStyle w:val="TableGrid"/>
        <w:tblW w:w="10847" w:type="dxa"/>
        <w:tblLook w:val="04A0" w:firstRow="1" w:lastRow="0" w:firstColumn="1" w:lastColumn="0" w:noHBand="0" w:noVBand="1"/>
      </w:tblPr>
      <w:tblGrid>
        <w:gridCol w:w="3615"/>
        <w:gridCol w:w="3615"/>
        <w:gridCol w:w="3617"/>
      </w:tblGrid>
      <w:tr w:rsidR="002B13F9" w:rsidRPr="00B0417B" w14:paraId="12CC7FD9" w14:textId="77777777" w:rsidTr="002B13F9">
        <w:trPr>
          <w:trHeight w:val="205"/>
        </w:trPr>
        <w:tc>
          <w:tcPr>
            <w:tcW w:w="3615" w:type="dxa"/>
          </w:tcPr>
          <w:p w14:paraId="4698F5BA" w14:textId="77777777" w:rsidR="002B13F9" w:rsidRPr="00B0417B" w:rsidRDefault="002B13F9" w:rsidP="00B0417B">
            <w:pPr>
              <w:spacing w:line="324" w:lineRule="atLeast"/>
              <w:jc w:val="center"/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0417B"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  <w:t>Date of Review</w:t>
            </w:r>
          </w:p>
        </w:tc>
        <w:tc>
          <w:tcPr>
            <w:tcW w:w="3615" w:type="dxa"/>
          </w:tcPr>
          <w:p w14:paraId="7517BAC8" w14:textId="77777777" w:rsidR="002B13F9" w:rsidRPr="00B0417B" w:rsidRDefault="002B13F9" w:rsidP="00B0417B">
            <w:pPr>
              <w:spacing w:line="324" w:lineRule="atLeast"/>
              <w:jc w:val="center"/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0417B"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  <w:t>Summary of Changes</w:t>
            </w:r>
          </w:p>
        </w:tc>
        <w:tc>
          <w:tcPr>
            <w:tcW w:w="3617" w:type="dxa"/>
          </w:tcPr>
          <w:p w14:paraId="2A657F2C" w14:textId="77777777" w:rsidR="002B13F9" w:rsidRPr="00B0417B" w:rsidRDefault="002B13F9" w:rsidP="00B0417B">
            <w:pPr>
              <w:spacing w:line="324" w:lineRule="atLeast"/>
              <w:jc w:val="center"/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0417B"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  <w:t>Reviewed by</w:t>
            </w:r>
          </w:p>
        </w:tc>
      </w:tr>
      <w:tr w:rsidR="002B13F9" w:rsidRPr="00B0417B" w14:paraId="552F24A4" w14:textId="77777777" w:rsidTr="00B0417B">
        <w:trPr>
          <w:trHeight w:val="436"/>
        </w:trPr>
        <w:tc>
          <w:tcPr>
            <w:tcW w:w="3615" w:type="dxa"/>
          </w:tcPr>
          <w:p w14:paraId="4A515889" w14:textId="0C19A8E5" w:rsidR="002B13F9" w:rsidRPr="00B0417B" w:rsidRDefault="00B0417B" w:rsidP="00B0417B">
            <w:pPr>
              <w:spacing w:line="324" w:lineRule="atLeast"/>
              <w:jc w:val="center"/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0417B"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  <w:t>5.11.2025</w:t>
            </w:r>
          </w:p>
        </w:tc>
        <w:tc>
          <w:tcPr>
            <w:tcW w:w="3615" w:type="dxa"/>
          </w:tcPr>
          <w:p w14:paraId="2DBE5C28" w14:textId="6F8B2EFB" w:rsidR="002B13F9" w:rsidRPr="00B0417B" w:rsidRDefault="00B0417B" w:rsidP="00B0417B">
            <w:pPr>
              <w:spacing w:line="324" w:lineRule="atLeast"/>
              <w:jc w:val="center"/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0417B"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  <w:t>Update to information on PRR and authorisation of medication.</w:t>
            </w:r>
          </w:p>
        </w:tc>
        <w:tc>
          <w:tcPr>
            <w:tcW w:w="3617" w:type="dxa"/>
          </w:tcPr>
          <w:p w14:paraId="7AE242F2" w14:textId="499654BC" w:rsidR="002B13F9" w:rsidRPr="00B0417B" w:rsidRDefault="00B0417B" w:rsidP="00B0417B">
            <w:pPr>
              <w:spacing w:line="324" w:lineRule="atLeast"/>
              <w:jc w:val="center"/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B0417B"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  <w:t>Stacey Sneddon</w:t>
            </w:r>
          </w:p>
        </w:tc>
      </w:tr>
      <w:tr w:rsidR="002B13F9" w:rsidRPr="00B0417B" w14:paraId="06525DF0" w14:textId="77777777" w:rsidTr="002B13F9">
        <w:trPr>
          <w:trHeight w:val="205"/>
        </w:trPr>
        <w:tc>
          <w:tcPr>
            <w:tcW w:w="3615" w:type="dxa"/>
          </w:tcPr>
          <w:p w14:paraId="0C9D829F" w14:textId="77777777" w:rsidR="002B13F9" w:rsidRPr="00B0417B" w:rsidRDefault="002B13F9" w:rsidP="00A20C87">
            <w:pPr>
              <w:spacing w:line="324" w:lineRule="atLeast"/>
              <w:jc w:val="both"/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15" w:type="dxa"/>
          </w:tcPr>
          <w:p w14:paraId="11A8B57A" w14:textId="77777777" w:rsidR="002B13F9" w:rsidRPr="00B0417B" w:rsidRDefault="002B13F9" w:rsidP="00A20C87">
            <w:pPr>
              <w:spacing w:line="324" w:lineRule="atLeast"/>
              <w:jc w:val="both"/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17" w:type="dxa"/>
          </w:tcPr>
          <w:p w14:paraId="1046C724" w14:textId="77777777" w:rsidR="002B13F9" w:rsidRPr="00B0417B" w:rsidRDefault="002B13F9" w:rsidP="00A20C87">
            <w:pPr>
              <w:spacing w:line="324" w:lineRule="atLeast"/>
              <w:jc w:val="both"/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2B13F9" w:rsidRPr="00B0417B" w14:paraId="07469EF5" w14:textId="77777777" w:rsidTr="002B13F9">
        <w:trPr>
          <w:trHeight w:val="205"/>
        </w:trPr>
        <w:tc>
          <w:tcPr>
            <w:tcW w:w="3615" w:type="dxa"/>
          </w:tcPr>
          <w:p w14:paraId="20EA79F6" w14:textId="77777777" w:rsidR="002B13F9" w:rsidRPr="00B0417B" w:rsidRDefault="002B13F9" w:rsidP="00A20C87">
            <w:pPr>
              <w:spacing w:line="324" w:lineRule="atLeast"/>
              <w:jc w:val="both"/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15" w:type="dxa"/>
          </w:tcPr>
          <w:p w14:paraId="5E558791" w14:textId="77777777" w:rsidR="002B13F9" w:rsidRPr="00B0417B" w:rsidRDefault="002B13F9" w:rsidP="00A20C87">
            <w:pPr>
              <w:spacing w:line="324" w:lineRule="atLeast"/>
              <w:jc w:val="both"/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17" w:type="dxa"/>
          </w:tcPr>
          <w:p w14:paraId="123E9E2B" w14:textId="77777777" w:rsidR="002B13F9" w:rsidRPr="00B0417B" w:rsidRDefault="002B13F9" w:rsidP="00A20C87">
            <w:pPr>
              <w:spacing w:line="324" w:lineRule="atLeast"/>
              <w:jc w:val="both"/>
              <w:rPr>
                <w:rFonts w:ascii="Twinkl" w:hAnsi="Twinkl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1D6E10B3" w14:textId="77777777" w:rsidR="00215A51" w:rsidRPr="00474337" w:rsidRDefault="00215A51" w:rsidP="00010260">
      <w:pPr>
        <w:rPr>
          <w:rFonts w:ascii="Twinkl" w:hAnsi="Twinkl"/>
        </w:rPr>
      </w:pPr>
    </w:p>
    <w:sectPr w:rsidR="00215A51" w:rsidRPr="00474337" w:rsidSect="002211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A76"/>
    <w:multiLevelType w:val="multilevel"/>
    <w:tmpl w:val="0464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45AE5"/>
    <w:multiLevelType w:val="multilevel"/>
    <w:tmpl w:val="A91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B4398"/>
    <w:multiLevelType w:val="hybridMultilevel"/>
    <w:tmpl w:val="4EC44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74900"/>
    <w:multiLevelType w:val="hybridMultilevel"/>
    <w:tmpl w:val="3A4E1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1170"/>
    <w:multiLevelType w:val="multilevel"/>
    <w:tmpl w:val="5CBC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C2D42"/>
    <w:multiLevelType w:val="multilevel"/>
    <w:tmpl w:val="E44A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90449"/>
    <w:multiLevelType w:val="hybridMultilevel"/>
    <w:tmpl w:val="6DC47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20710">
    <w:abstractNumId w:val="3"/>
  </w:num>
  <w:num w:numId="2" w16cid:durableId="1257909349">
    <w:abstractNumId w:val="6"/>
  </w:num>
  <w:num w:numId="3" w16cid:durableId="697126308">
    <w:abstractNumId w:val="2"/>
  </w:num>
  <w:num w:numId="4" w16cid:durableId="1187523236">
    <w:abstractNumId w:val="0"/>
  </w:num>
  <w:num w:numId="5" w16cid:durableId="1085759935">
    <w:abstractNumId w:val="1"/>
  </w:num>
  <w:num w:numId="6" w16cid:durableId="323897617">
    <w:abstractNumId w:val="4"/>
  </w:num>
  <w:num w:numId="7" w16cid:durableId="838037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260"/>
    <w:rsid w:val="00010260"/>
    <w:rsid w:val="000538C7"/>
    <w:rsid w:val="00091F45"/>
    <w:rsid w:val="000936EA"/>
    <w:rsid w:val="00094838"/>
    <w:rsid w:val="000F62E3"/>
    <w:rsid w:val="001557BA"/>
    <w:rsid w:val="00191886"/>
    <w:rsid w:val="001A53FC"/>
    <w:rsid w:val="001D5C5E"/>
    <w:rsid w:val="001E5BE2"/>
    <w:rsid w:val="00215A51"/>
    <w:rsid w:val="00221129"/>
    <w:rsid w:val="002B13F9"/>
    <w:rsid w:val="00415866"/>
    <w:rsid w:val="00474337"/>
    <w:rsid w:val="0050330E"/>
    <w:rsid w:val="00523E96"/>
    <w:rsid w:val="0065300C"/>
    <w:rsid w:val="006607D3"/>
    <w:rsid w:val="00791B1F"/>
    <w:rsid w:val="008832FD"/>
    <w:rsid w:val="00893B32"/>
    <w:rsid w:val="00931C9C"/>
    <w:rsid w:val="009D7BB7"/>
    <w:rsid w:val="00A00F42"/>
    <w:rsid w:val="00A15309"/>
    <w:rsid w:val="00A1719D"/>
    <w:rsid w:val="00B0417B"/>
    <w:rsid w:val="00B459AC"/>
    <w:rsid w:val="00B6667E"/>
    <w:rsid w:val="00B74D3A"/>
    <w:rsid w:val="00D72B6E"/>
    <w:rsid w:val="00DC0518"/>
    <w:rsid w:val="00DF40E5"/>
    <w:rsid w:val="00DF6AA1"/>
    <w:rsid w:val="00E73DFD"/>
    <w:rsid w:val="00EB14A6"/>
    <w:rsid w:val="00F04407"/>
    <w:rsid w:val="00F71217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34FE"/>
  <w15:docId w15:val="{22519B79-DAB2-43BA-9578-5BDCA76C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2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C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C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1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2B13F9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31C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C9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1206</Words>
  <Characters>6299</Characters>
  <Application>Microsoft Office Word</Application>
  <DocSecurity>0</DocSecurity>
  <Lines>123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Little</dc:creator>
  <cp:lastModifiedBy>stacey sneddon</cp:lastModifiedBy>
  <cp:revision>33</cp:revision>
  <cp:lastPrinted>2022-12-09T12:37:00Z</cp:lastPrinted>
  <dcterms:created xsi:type="dcterms:W3CDTF">2019-06-05T10:51:00Z</dcterms:created>
  <dcterms:modified xsi:type="dcterms:W3CDTF">2025-11-05T10:23:00Z</dcterms:modified>
</cp:coreProperties>
</file>